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D1" w:rsidRPr="00C7700B" w:rsidRDefault="00831935" w:rsidP="00C7700B">
      <w:pPr>
        <w:adjustRightInd w:val="0"/>
        <w:snapToGrid w:val="0"/>
        <w:spacing w:line="300" w:lineRule="exact"/>
        <w:jc w:val="center"/>
        <w:rPr>
          <w:rFonts w:ascii="標楷體" w:eastAsia="標楷體" w:hAnsi="標楷體"/>
          <w:b/>
          <w:bCs/>
          <w:spacing w:val="-4"/>
          <w:sz w:val="28"/>
          <w:szCs w:val="28"/>
        </w:rPr>
      </w:pPr>
      <w:r w:rsidRPr="00C7700B">
        <w:rPr>
          <w:rFonts w:ascii="標楷體" w:eastAsia="標楷體" w:hAnsi="標楷體" w:hint="eastAsia"/>
          <w:b/>
          <w:bCs/>
          <w:spacing w:val="-4"/>
          <w:sz w:val="28"/>
          <w:szCs w:val="28"/>
        </w:rPr>
        <w:t>統計資料背景說明</w:t>
      </w:r>
    </w:p>
    <w:p w:rsidR="005A3AC0" w:rsidRPr="00C7700B" w:rsidRDefault="005A3AC0" w:rsidP="00C7700B">
      <w:pPr>
        <w:spacing w:line="300" w:lineRule="exact"/>
        <w:ind w:firstLineChars="4" w:firstLine="11"/>
        <w:jc w:val="both"/>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資料種類:</w:t>
      </w:r>
      <w:r w:rsidR="00A1678E" w:rsidRPr="00C7700B">
        <w:rPr>
          <w:rFonts w:ascii="標楷體" w:eastAsia="標楷體" w:hAnsi="標楷體" w:hint="eastAsia"/>
          <w:color w:val="000000" w:themeColor="text1"/>
          <w:sz w:val="28"/>
          <w:szCs w:val="28"/>
        </w:rPr>
        <w:t>社會保護統計</w:t>
      </w:r>
    </w:p>
    <w:p w:rsidR="00D92BD1" w:rsidRPr="00C7700B" w:rsidRDefault="005A3AC0" w:rsidP="00C7700B">
      <w:pPr>
        <w:spacing w:line="300" w:lineRule="exact"/>
        <w:ind w:firstLineChars="4" w:firstLine="11"/>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資料項目:</w:t>
      </w:r>
      <w:r w:rsidR="00CD0E44" w:rsidRPr="00C7700B">
        <w:rPr>
          <w:rFonts w:ascii="標楷體" w:eastAsia="標楷體" w:hAnsi="標楷體" w:hint="eastAsia"/>
          <w:color w:val="000000" w:themeColor="text1"/>
          <w:sz w:val="28"/>
          <w:szCs w:val="28"/>
        </w:rPr>
        <w:t>澎湖縣</w:t>
      </w:r>
      <w:r w:rsidR="00E12F36" w:rsidRPr="00C7700B">
        <w:rPr>
          <w:rFonts w:ascii="標楷體" w:eastAsia="標楷體" w:hAnsi="標楷體" w:hint="eastAsia"/>
          <w:color w:val="000000" w:themeColor="text1"/>
          <w:sz w:val="28"/>
          <w:szCs w:val="28"/>
        </w:rPr>
        <w:t>性騷擾事件裁罰統計</w:t>
      </w:r>
    </w:p>
    <w:p w:rsidR="00D92BD1" w:rsidRPr="00C7700B" w:rsidRDefault="00D92BD1" w:rsidP="00C7700B">
      <w:pPr>
        <w:numPr>
          <w:ilvl w:val="0"/>
          <w:numId w:val="20"/>
        </w:numPr>
        <w:adjustRightInd w:val="0"/>
        <w:snapToGrid w:val="0"/>
        <w:spacing w:line="300" w:lineRule="exact"/>
        <w:jc w:val="both"/>
        <w:rPr>
          <w:rFonts w:ascii="標楷體" w:eastAsia="標楷體" w:hAnsi="標楷體"/>
          <w:bCs/>
          <w:color w:val="000000" w:themeColor="text1"/>
          <w:sz w:val="28"/>
          <w:szCs w:val="28"/>
        </w:rPr>
      </w:pPr>
      <w:r w:rsidRPr="00C7700B">
        <w:rPr>
          <w:rFonts w:ascii="標楷體" w:eastAsia="標楷體" w:hAnsi="標楷體"/>
          <w:bCs/>
          <w:color w:val="000000" w:themeColor="text1"/>
          <w:sz w:val="28"/>
          <w:szCs w:val="28"/>
        </w:rPr>
        <w:t>發布及編製機關單位</w:t>
      </w:r>
    </w:p>
    <w:p w:rsidR="00D92BD1" w:rsidRPr="00C7700B" w:rsidRDefault="00D92BD1" w:rsidP="00C7700B">
      <w:pPr>
        <w:kinsoku w:val="0"/>
        <w:overflowPunct w:val="0"/>
        <w:autoSpaceDE w:val="0"/>
        <w:autoSpaceDN w:val="0"/>
        <w:adjustRightInd w:val="0"/>
        <w:snapToGrid w:val="0"/>
        <w:spacing w:line="300" w:lineRule="exact"/>
        <w:ind w:leftChars="119" w:left="482" w:hangingChars="72" w:hanging="196"/>
        <w:rPr>
          <w:rFonts w:ascii="標楷體" w:eastAsia="標楷體" w:hAnsi="標楷體"/>
          <w:color w:val="000000" w:themeColor="text1"/>
          <w:spacing w:val="-4"/>
          <w:sz w:val="28"/>
          <w:szCs w:val="28"/>
        </w:rPr>
      </w:pPr>
      <w:r w:rsidRPr="00C7700B">
        <w:rPr>
          <w:rFonts w:ascii="標楷體" w:eastAsia="標楷體" w:hAnsi="標楷體"/>
          <w:color w:val="000000" w:themeColor="text1"/>
          <w:spacing w:val="-4"/>
          <w:sz w:val="28"/>
          <w:szCs w:val="28"/>
        </w:rPr>
        <w:t>＊發布機關、單位：澎湖縣政府</w:t>
      </w:r>
    </w:p>
    <w:p w:rsidR="00D92BD1"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pacing w:val="-4"/>
          <w:sz w:val="28"/>
          <w:szCs w:val="28"/>
        </w:rPr>
      </w:pPr>
      <w:r w:rsidRPr="00C7700B">
        <w:rPr>
          <w:rFonts w:ascii="標楷體" w:eastAsia="標楷體" w:hAnsi="標楷體"/>
          <w:color w:val="000000" w:themeColor="text1"/>
          <w:sz w:val="28"/>
          <w:szCs w:val="28"/>
        </w:rPr>
        <w:t>＊編製單位：</w:t>
      </w:r>
      <w:r w:rsidRPr="00C7700B">
        <w:rPr>
          <w:rFonts w:ascii="標楷體" w:eastAsia="標楷體" w:hAnsi="標楷體"/>
          <w:color w:val="000000" w:themeColor="text1"/>
          <w:spacing w:val="-4"/>
          <w:sz w:val="28"/>
          <w:szCs w:val="28"/>
        </w:rPr>
        <w:t>澎湖縣政府</w:t>
      </w:r>
      <w:r w:rsidR="00831935" w:rsidRPr="00C7700B">
        <w:rPr>
          <w:rFonts w:ascii="標楷體" w:eastAsia="標楷體" w:hAnsi="標楷體" w:hint="eastAsia"/>
          <w:color w:val="000000" w:themeColor="text1"/>
          <w:spacing w:val="-4"/>
          <w:sz w:val="28"/>
          <w:szCs w:val="28"/>
        </w:rPr>
        <w:t>社會</w:t>
      </w:r>
      <w:r w:rsidR="00853165" w:rsidRPr="00C7700B">
        <w:rPr>
          <w:rFonts w:ascii="標楷體" w:eastAsia="標楷體" w:hAnsi="標楷體"/>
          <w:color w:val="000000" w:themeColor="text1"/>
          <w:spacing w:val="-4"/>
          <w:sz w:val="28"/>
          <w:szCs w:val="28"/>
        </w:rPr>
        <w:t>處</w:t>
      </w:r>
    </w:p>
    <w:p w:rsidR="00AC5739" w:rsidRPr="00C7700B" w:rsidRDefault="002547B9"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＊聯絡</w:t>
      </w:r>
      <w:r w:rsidRPr="00C7700B">
        <w:rPr>
          <w:rFonts w:ascii="標楷體" w:eastAsia="標楷體" w:hAnsi="標楷體" w:hint="eastAsia"/>
          <w:color w:val="000000" w:themeColor="text1"/>
          <w:sz w:val="28"/>
          <w:szCs w:val="28"/>
        </w:rPr>
        <w:t>人:</w:t>
      </w:r>
      <w:r w:rsidR="00CD0E44" w:rsidRPr="00C7700B">
        <w:rPr>
          <w:rFonts w:ascii="標楷體" w:eastAsia="標楷體" w:hAnsi="標楷體" w:hint="eastAsia"/>
          <w:color w:val="000000" w:themeColor="text1"/>
          <w:sz w:val="28"/>
          <w:szCs w:val="28"/>
        </w:rPr>
        <w:t>林詩韻公職社會工作師</w:t>
      </w:r>
    </w:p>
    <w:p w:rsidR="00D92BD1"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＊聯絡電話：06-9274400轉</w:t>
      </w:r>
      <w:r w:rsidR="00CD0E44" w:rsidRPr="00C7700B">
        <w:rPr>
          <w:rFonts w:ascii="標楷體" w:eastAsia="標楷體" w:hAnsi="標楷體" w:hint="eastAsia"/>
          <w:color w:val="000000" w:themeColor="text1"/>
          <w:sz w:val="28"/>
          <w:szCs w:val="28"/>
        </w:rPr>
        <w:t>381</w:t>
      </w:r>
    </w:p>
    <w:p w:rsidR="00D92BD1"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＊傳真：</w:t>
      </w:r>
      <w:r w:rsidR="00CD0E44" w:rsidRPr="00C7700B">
        <w:rPr>
          <w:rFonts w:ascii="標楷體" w:eastAsia="標楷體" w:hAnsi="標楷體" w:hint="eastAsia"/>
          <w:color w:val="000000" w:themeColor="text1"/>
          <w:sz w:val="28"/>
          <w:szCs w:val="28"/>
        </w:rPr>
        <w:t>06-9264067</w:t>
      </w:r>
    </w:p>
    <w:p w:rsidR="005A3AC0"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＊電子信箱：</w:t>
      </w:r>
      <w:r w:rsidR="00CD0E44" w:rsidRPr="00C7700B">
        <w:rPr>
          <w:rFonts w:ascii="標楷體" w:eastAsia="標楷體" w:hAnsi="標楷體" w:hint="eastAsia"/>
          <w:color w:val="000000" w:themeColor="text1"/>
          <w:sz w:val="28"/>
          <w:szCs w:val="28"/>
        </w:rPr>
        <w:t>fa17601@mail.penghu.gov.tw</w:t>
      </w:r>
    </w:p>
    <w:p w:rsidR="00D92BD1" w:rsidRPr="00C7700B" w:rsidRDefault="00D92BD1" w:rsidP="00C7700B">
      <w:pPr>
        <w:kinsoku w:val="0"/>
        <w:overflowPunct w:val="0"/>
        <w:autoSpaceDE w:val="0"/>
        <w:autoSpaceDN w:val="0"/>
        <w:adjustRightInd w:val="0"/>
        <w:snapToGrid w:val="0"/>
        <w:spacing w:line="300" w:lineRule="exact"/>
        <w:rPr>
          <w:rFonts w:ascii="標楷體" w:eastAsia="標楷體" w:hAnsi="標楷體"/>
          <w:bCs/>
          <w:color w:val="000000" w:themeColor="text1"/>
          <w:sz w:val="28"/>
          <w:szCs w:val="28"/>
        </w:rPr>
      </w:pPr>
      <w:r w:rsidRPr="00C7700B">
        <w:rPr>
          <w:rFonts w:ascii="標楷體" w:eastAsia="標楷體" w:hAnsi="標楷體"/>
          <w:bCs/>
          <w:color w:val="000000" w:themeColor="text1"/>
          <w:sz w:val="28"/>
          <w:szCs w:val="28"/>
        </w:rPr>
        <w:t>二、發布形式</w:t>
      </w:r>
    </w:p>
    <w:p w:rsidR="00D92BD1"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＊口頭：</w:t>
      </w:r>
    </w:p>
    <w:p w:rsidR="00D92BD1" w:rsidRPr="00C7700B" w:rsidRDefault="00D92BD1" w:rsidP="00C7700B">
      <w:pPr>
        <w:kinsoku w:val="0"/>
        <w:overflowPunct w:val="0"/>
        <w:autoSpaceDE w:val="0"/>
        <w:autoSpaceDN w:val="0"/>
        <w:adjustRightInd w:val="0"/>
        <w:snapToGrid w:val="0"/>
        <w:spacing w:line="300" w:lineRule="exact"/>
        <w:ind w:leftChars="236" w:left="958" w:hangingChars="140" w:hanging="392"/>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）記者會或說明會</w:t>
      </w:r>
    </w:p>
    <w:p w:rsidR="00D92BD1"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＊書面：</w:t>
      </w:r>
    </w:p>
    <w:p w:rsidR="00D92BD1" w:rsidRPr="00C7700B" w:rsidRDefault="00D92BD1" w:rsidP="00C7700B">
      <w:pPr>
        <w:kinsoku w:val="0"/>
        <w:overflowPunct w:val="0"/>
        <w:autoSpaceDE w:val="0"/>
        <w:autoSpaceDN w:val="0"/>
        <w:adjustRightInd w:val="0"/>
        <w:snapToGrid w:val="0"/>
        <w:spacing w:line="300" w:lineRule="exact"/>
        <w:ind w:leftChars="237" w:left="961" w:hangingChars="140" w:hanging="392"/>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）新聞稿</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w:t>
      </w:r>
      <w:r w:rsidR="005A3AC0" w:rsidRPr="00C7700B">
        <w:rPr>
          <w:rFonts w:ascii="標楷體" w:eastAsia="標楷體" w:hAnsi="標楷體"/>
          <w:color w:val="000000" w:themeColor="text1"/>
          <w:sz w:val="28"/>
          <w:szCs w:val="28"/>
        </w:rPr>
        <w:t>ˇ</w:t>
      </w:r>
      <w:r w:rsidRPr="00C7700B">
        <w:rPr>
          <w:rFonts w:ascii="標楷體" w:eastAsia="標楷體" w:hAnsi="標楷體"/>
          <w:color w:val="000000" w:themeColor="text1"/>
          <w:sz w:val="28"/>
          <w:szCs w:val="28"/>
        </w:rPr>
        <w:t>）報表</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w:t>
      </w:r>
      <w:r w:rsidR="00831935"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）書刊</w:t>
      </w:r>
    </w:p>
    <w:p w:rsidR="00D92BD1" w:rsidRPr="00C7700B" w:rsidRDefault="00D92BD1" w:rsidP="00C7700B">
      <w:pPr>
        <w:kinsoku w:val="0"/>
        <w:overflowPunct w:val="0"/>
        <w:autoSpaceDE w:val="0"/>
        <w:autoSpaceDN w:val="0"/>
        <w:adjustRightInd w:val="0"/>
        <w:snapToGrid w:val="0"/>
        <w:spacing w:line="300" w:lineRule="exact"/>
        <w:ind w:leftChars="119" w:left="482" w:hangingChars="70" w:hanging="19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＊電子媒體：</w:t>
      </w:r>
    </w:p>
    <w:p w:rsidR="003863D4" w:rsidRPr="00C7700B" w:rsidRDefault="00D92BD1" w:rsidP="00C7700B">
      <w:pPr>
        <w:kinsoku w:val="0"/>
        <w:overflowPunct w:val="0"/>
        <w:autoSpaceDE w:val="0"/>
        <w:autoSpaceDN w:val="0"/>
        <w:adjustRightInd w:val="0"/>
        <w:snapToGrid w:val="0"/>
        <w:spacing w:line="300" w:lineRule="exact"/>
        <w:ind w:leftChars="236" w:left="958" w:hangingChars="140" w:hanging="392"/>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w:t>
      </w:r>
      <w:r w:rsidR="00441C02" w:rsidRPr="00C7700B">
        <w:rPr>
          <w:rFonts w:ascii="標楷體" w:eastAsia="標楷體" w:hAnsi="標楷體" w:hint="eastAsia"/>
          <w:color w:val="000000" w:themeColor="text1"/>
          <w:sz w:val="28"/>
          <w:szCs w:val="28"/>
        </w:rPr>
        <w:t xml:space="preserve"> </w:t>
      </w:r>
      <w:r w:rsidR="00BF17ED"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）線上書刊及資料庫，網址：</w:t>
      </w:r>
    </w:p>
    <w:p w:rsidR="00D92BD1" w:rsidRPr="00C7700B" w:rsidRDefault="00D92BD1" w:rsidP="00C7700B">
      <w:pPr>
        <w:kinsoku w:val="0"/>
        <w:overflowPunct w:val="0"/>
        <w:autoSpaceDE w:val="0"/>
        <w:autoSpaceDN w:val="0"/>
        <w:adjustRightInd w:val="0"/>
        <w:snapToGrid w:val="0"/>
        <w:spacing w:line="300" w:lineRule="exact"/>
        <w:ind w:leftChars="237" w:left="961" w:hangingChars="140" w:hanging="392"/>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）磁片</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）光碟片</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w:t>
      </w:r>
      <w:r w:rsidR="00151E88" w:rsidRPr="00C7700B">
        <w:rPr>
          <w:rFonts w:ascii="標楷體" w:eastAsia="標楷體" w:hAnsi="標楷體" w:hint="eastAsia"/>
          <w:color w:val="000000" w:themeColor="text1"/>
          <w:sz w:val="28"/>
          <w:szCs w:val="28"/>
        </w:rPr>
        <w:t xml:space="preserve">  </w:t>
      </w:r>
      <w:r w:rsidRPr="00C7700B">
        <w:rPr>
          <w:rFonts w:ascii="標楷體" w:eastAsia="標楷體" w:hAnsi="標楷體"/>
          <w:color w:val="000000" w:themeColor="text1"/>
          <w:sz w:val="28"/>
          <w:szCs w:val="28"/>
        </w:rPr>
        <w:t>）其他</w:t>
      </w:r>
    </w:p>
    <w:p w:rsidR="005A3AC0" w:rsidRPr="00C7700B" w:rsidRDefault="005A3AC0" w:rsidP="00C7700B">
      <w:pPr>
        <w:kinsoku w:val="0"/>
        <w:overflowPunct w:val="0"/>
        <w:autoSpaceDE w:val="0"/>
        <w:autoSpaceDN w:val="0"/>
        <w:adjustRightInd w:val="0"/>
        <w:snapToGrid w:val="0"/>
        <w:spacing w:line="300" w:lineRule="exact"/>
        <w:ind w:leftChars="400" w:left="960"/>
        <w:rPr>
          <w:rFonts w:ascii="標楷體" w:eastAsia="標楷體" w:hAnsi="標楷體"/>
          <w:color w:val="000000" w:themeColor="text1"/>
          <w:sz w:val="28"/>
          <w:szCs w:val="28"/>
        </w:rPr>
      </w:pPr>
    </w:p>
    <w:p w:rsidR="00D92BD1" w:rsidRPr="00C7700B" w:rsidRDefault="00D92BD1" w:rsidP="00C7700B">
      <w:pPr>
        <w:kinsoku w:val="0"/>
        <w:overflowPunct w:val="0"/>
        <w:autoSpaceDE w:val="0"/>
        <w:autoSpaceDN w:val="0"/>
        <w:adjustRightInd w:val="0"/>
        <w:snapToGrid w:val="0"/>
        <w:spacing w:line="300" w:lineRule="exact"/>
        <w:rPr>
          <w:rFonts w:ascii="標楷體" w:eastAsia="標楷體" w:hAnsi="標楷體"/>
          <w:bCs/>
          <w:color w:val="000000" w:themeColor="text1"/>
          <w:sz w:val="28"/>
          <w:szCs w:val="28"/>
        </w:rPr>
      </w:pPr>
      <w:r w:rsidRPr="00C7700B">
        <w:rPr>
          <w:rFonts w:ascii="標楷體" w:eastAsia="標楷體" w:hAnsi="標楷體"/>
          <w:bCs/>
          <w:color w:val="000000" w:themeColor="text1"/>
          <w:sz w:val="28"/>
          <w:szCs w:val="28"/>
        </w:rPr>
        <w:t>三、資料範圍、週期及時效</w:t>
      </w:r>
    </w:p>
    <w:p w:rsidR="00AC5739" w:rsidRPr="00C7700B" w:rsidRDefault="00D92BD1" w:rsidP="00C7700B">
      <w:pPr>
        <w:kinsoku w:val="0"/>
        <w:overflowPunct w:val="0"/>
        <w:autoSpaceDE w:val="0"/>
        <w:autoSpaceDN w:val="0"/>
        <w:adjustRightInd w:val="0"/>
        <w:snapToGrid w:val="0"/>
        <w:spacing w:line="300" w:lineRule="exact"/>
        <w:ind w:leftChars="118" w:left="563" w:hangingChars="100" w:hanging="280"/>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＊統計地區範圍及對象：</w:t>
      </w:r>
      <w:r w:rsidR="00CD0E44" w:rsidRPr="00C7700B">
        <w:rPr>
          <w:rFonts w:ascii="標楷體" w:eastAsia="標楷體" w:hAnsi="標楷體" w:hint="eastAsia"/>
          <w:color w:val="000000" w:themeColor="text1"/>
          <w:sz w:val="28"/>
          <w:szCs w:val="28"/>
        </w:rPr>
        <w:t>凡本縣依據性騷擾防治法所執行之業務項目，均為統計範圍及對象。</w:t>
      </w:r>
    </w:p>
    <w:p w:rsidR="00C7700B" w:rsidRPr="00DA44B1" w:rsidRDefault="00D92BD1" w:rsidP="00C7700B">
      <w:pPr>
        <w:spacing w:line="300" w:lineRule="exact"/>
        <w:ind w:left="496" w:hangingChars="177" w:hanging="496"/>
        <w:rPr>
          <w:rFonts w:ascii="標楷體" w:eastAsia="標楷體" w:hAnsi="標楷體"/>
          <w:sz w:val="28"/>
          <w:szCs w:val="28"/>
        </w:rPr>
      </w:pPr>
      <w:r w:rsidRPr="00C7700B">
        <w:rPr>
          <w:rFonts w:ascii="標楷體" w:eastAsia="標楷體" w:hAnsi="標楷體"/>
          <w:color w:val="000000" w:themeColor="text1"/>
          <w:sz w:val="28"/>
          <w:szCs w:val="28"/>
        </w:rPr>
        <w:t>＊統計標準時間：</w:t>
      </w:r>
      <w:r w:rsidR="00C7700B" w:rsidRPr="00DA44B1">
        <w:rPr>
          <w:rFonts w:ascii="標楷體" w:eastAsia="標楷體" w:hAnsi="標楷體" w:hint="eastAsia"/>
          <w:color w:val="FF0000"/>
          <w:sz w:val="28"/>
          <w:szCs w:val="28"/>
        </w:rPr>
        <w:t>上半年以1至6月、下半年以7至12月之事實為準。</w:t>
      </w:r>
    </w:p>
    <w:p w:rsidR="00CD0E44" w:rsidRPr="00C7700B" w:rsidRDefault="00D92BD1" w:rsidP="00C7700B">
      <w:pPr>
        <w:kinsoku w:val="0"/>
        <w:overflowPunct w:val="0"/>
        <w:autoSpaceDE w:val="0"/>
        <w:autoSpaceDN w:val="0"/>
        <w:adjustRightInd w:val="0"/>
        <w:snapToGrid w:val="0"/>
        <w:spacing w:line="300" w:lineRule="exact"/>
        <w:ind w:leftChars="118" w:left="563" w:hangingChars="100" w:hanging="280"/>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＊統計項目定義：</w:t>
      </w:r>
    </w:p>
    <w:p w:rsidR="00E84D72" w:rsidRPr="00C7700B" w:rsidRDefault="00E12F36" w:rsidP="00C7700B">
      <w:pPr>
        <w:spacing w:line="300" w:lineRule="exact"/>
        <w:ind w:leftChars="236" w:left="1129" w:hangingChars="201" w:hanging="563"/>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(一)性騷擾：係指性侵害犯罪以外，對他人實施違反其意願而與性或性別有關之行為，且有下列情形之一者：</w:t>
      </w:r>
    </w:p>
    <w:p w:rsidR="00E84D72" w:rsidRPr="00C7700B" w:rsidRDefault="00E12F36" w:rsidP="00C7700B">
      <w:pPr>
        <w:spacing w:line="300" w:lineRule="exact"/>
        <w:ind w:leftChars="413" w:left="1699" w:hangingChars="253" w:hanging="708"/>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（1）以該他人順服或拒絕該行為，作為其獲得、喪失或減損與工作、教育、訓練、服務、計畫、活動有關權益之條件。</w:t>
      </w:r>
    </w:p>
    <w:p w:rsidR="00E12F36" w:rsidRPr="00C7700B" w:rsidRDefault="00E12F36" w:rsidP="00C7700B">
      <w:pPr>
        <w:spacing w:line="300" w:lineRule="exact"/>
        <w:ind w:leftChars="413" w:left="1699" w:hangingChars="253" w:hanging="708"/>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2）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E12F36" w:rsidRPr="00C7700B" w:rsidRDefault="00E12F36" w:rsidP="00C7700B">
      <w:pPr>
        <w:spacing w:line="300" w:lineRule="exact"/>
        <w:ind w:leftChars="237" w:left="1275" w:hangingChars="252" w:hanging="706"/>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(二)性騷擾事件裁罰統計：</w:t>
      </w:r>
    </w:p>
    <w:p w:rsidR="00E12F36" w:rsidRPr="00C7700B" w:rsidRDefault="00E12F36" w:rsidP="00C7700B">
      <w:pPr>
        <w:spacing w:line="300" w:lineRule="exact"/>
        <w:ind w:leftChars="354" w:left="1130" w:hangingChars="100" w:hanging="280"/>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1.加害人：加害人違反之法條，除原列性騷擾防治法第20條外，增列第21條加重處罰規定。</w:t>
      </w:r>
    </w:p>
    <w:p w:rsidR="00CD0E44" w:rsidRPr="00C7700B" w:rsidRDefault="00E12F36" w:rsidP="00C7700B">
      <w:pPr>
        <w:spacing w:line="300" w:lineRule="exact"/>
        <w:ind w:leftChars="354" w:left="1130" w:hangingChars="100" w:hanging="280"/>
        <w:jc w:val="both"/>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2.媒體不當報導：考量性騷擾防治法第12條已規定媒體不得報導或記載被害人姓名或其他足資識別被害人身分資訊，新增「媒體不當報導」，以瞭解裁罰情形。</w:t>
      </w:r>
    </w:p>
    <w:p w:rsidR="00552FED" w:rsidRPr="00C7700B" w:rsidRDefault="00D92BD1" w:rsidP="00C7700B">
      <w:pPr>
        <w:kinsoku w:val="0"/>
        <w:overflowPunct w:val="0"/>
        <w:autoSpaceDE w:val="0"/>
        <w:autoSpaceDN w:val="0"/>
        <w:adjustRightInd w:val="0"/>
        <w:snapToGrid w:val="0"/>
        <w:spacing w:line="300" w:lineRule="exact"/>
        <w:ind w:leftChars="119" w:left="762" w:hangingChars="170" w:hanging="47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＊統計單位：</w:t>
      </w:r>
      <w:r w:rsidR="00E12F36" w:rsidRPr="00C7700B">
        <w:rPr>
          <w:rFonts w:ascii="標楷體" w:eastAsia="標楷體" w:hAnsi="標楷體" w:hint="eastAsia"/>
          <w:color w:val="000000" w:themeColor="text1"/>
          <w:sz w:val="28"/>
          <w:szCs w:val="28"/>
        </w:rPr>
        <w:t>件、元</w:t>
      </w:r>
    </w:p>
    <w:p w:rsidR="00D92BD1" w:rsidRPr="00C7700B" w:rsidRDefault="00D92BD1" w:rsidP="00C7700B">
      <w:pPr>
        <w:kinsoku w:val="0"/>
        <w:overflowPunct w:val="0"/>
        <w:autoSpaceDE w:val="0"/>
        <w:autoSpaceDN w:val="0"/>
        <w:adjustRightInd w:val="0"/>
        <w:snapToGrid w:val="0"/>
        <w:spacing w:line="300" w:lineRule="exact"/>
        <w:ind w:leftChars="118" w:left="563" w:hangingChars="100" w:hanging="280"/>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＊統計分類：</w:t>
      </w:r>
      <w:r w:rsidR="00AE60D5" w:rsidRPr="00C7700B">
        <w:rPr>
          <w:rFonts w:ascii="標楷體" w:eastAsia="標楷體" w:hAnsi="標楷體" w:hint="eastAsia"/>
          <w:color w:val="000000" w:themeColor="text1"/>
          <w:sz w:val="28"/>
          <w:szCs w:val="28"/>
        </w:rPr>
        <w:t>橫項依「裁罰件數」及「裁罰金額」分；縱項依「加害人部分」、「機關、部隊、學校、機構、僱用人部分」及「媒體不當報導部分」分。</w:t>
      </w:r>
    </w:p>
    <w:p w:rsidR="00D92BD1" w:rsidRPr="00C7700B" w:rsidRDefault="00D92BD1" w:rsidP="00C7700B">
      <w:pPr>
        <w:kinsoku w:val="0"/>
        <w:overflowPunct w:val="0"/>
        <w:autoSpaceDE w:val="0"/>
        <w:autoSpaceDN w:val="0"/>
        <w:adjustRightInd w:val="0"/>
        <w:snapToGrid w:val="0"/>
        <w:spacing w:line="300" w:lineRule="exact"/>
        <w:ind w:leftChars="119" w:left="762" w:hangingChars="170" w:hanging="47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＊發布週期：</w:t>
      </w:r>
      <w:r w:rsidR="00D35B03" w:rsidRPr="00C7700B">
        <w:rPr>
          <w:rFonts w:ascii="標楷體" w:eastAsia="標楷體" w:hAnsi="標楷體" w:hint="eastAsia"/>
          <w:color w:val="000000" w:themeColor="text1"/>
          <w:sz w:val="28"/>
          <w:szCs w:val="28"/>
        </w:rPr>
        <w:t>每</w:t>
      </w:r>
      <w:r w:rsidR="006F2BC1">
        <w:rPr>
          <w:rFonts w:ascii="標楷體" w:eastAsia="標楷體" w:hAnsi="標楷體" w:hint="eastAsia"/>
          <w:color w:val="000000" w:themeColor="text1"/>
          <w:sz w:val="28"/>
          <w:szCs w:val="28"/>
        </w:rPr>
        <w:t>半年</w:t>
      </w:r>
    </w:p>
    <w:p w:rsidR="00D92BD1" w:rsidRPr="00C7700B" w:rsidRDefault="00D92BD1" w:rsidP="00C7700B">
      <w:pPr>
        <w:kinsoku w:val="0"/>
        <w:overflowPunct w:val="0"/>
        <w:autoSpaceDE w:val="0"/>
        <w:autoSpaceDN w:val="0"/>
        <w:adjustRightInd w:val="0"/>
        <w:snapToGrid w:val="0"/>
        <w:spacing w:line="300" w:lineRule="exact"/>
        <w:ind w:leftChars="119" w:left="762" w:hangingChars="170" w:hanging="47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＊時效：</w:t>
      </w:r>
      <w:r w:rsidR="006F2BC1">
        <w:rPr>
          <w:rFonts w:ascii="標楷體" w:eastAsia="標楷體" w:hAnsi="標楷體" w:hint="eastAsia"/>
          <w:color w:val="000000" w:themeColor="text1"/>
          <w:sz w:val="28"/>
          <w:szCs w:val="28"/>
        </w:rPr>
        <w:t>兩個月又五天</w:t>
      </w:r>
    </w:p>
    <w:p w:rsidR="00D92BD1" w:rsidRPr="00C7700B" w:rsidRDefault="00D92BD1" w:rsidP="00C7700B">
      <w:pPr>
        <w:kinsoku w:val="0"/>
        <w:overflowPunct w:val="0"/>
        <w:autoSpaceDE w:val="0"/>
        <w:autoSpaceDN w:val="0"/>
        <w:adjustRightInd w:val="0"/>
        <w:snapToGrid w:val="0"/>
        <w:spacing w:line="300" w:lineRule="exact"/>
        <w:ind w:leftChars="119" w:left="762" w:hangingChars="170" w:hanging="47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＊資料變革：無</w:t>
      </w:r>
    </w:p>
    <w:p w:rsidR="0013327E" w:rsidRPr="00C7700B" w:rsidRDefault="0013327E" w:rsidP="00C7700B">
      <w:pPr>
        <w:kinsoku w:val="0"/>
        <w:overflowPunct w:val="0"/>
        <w:autoSpaceDE w:val="0"/>
        <w:autoSpaceDN w:val="0"/>
        <w:adjustRightInd w:val="0"/>
        <w:snapToGrid w:val="0"/>
        <w:spacing w:line="300" w:lineRule="exact"/>
        <w:ind w:leftChars="200" w:left="760" w:hangingChars="100" w:hanging="280"/>
        <w:rPr>
          <w:rFonts w:ascii="標楷體" w:eastAsia="標楷體" w:hAnsi="標楷體"/>
          <w:color w:val="000000" w:themeColor="text1"/>
          <w:sz w:val="28"/>
          <w:szCs w:val="28"/>
        </w:rPr>
      </w:pPr>
    </w:p>
    <w:p w:rsidR="00D92BD1" w:rsidRPr="00C7700B" w:rsidRDefault="00D92BD1" w:rsidP="00C7700B">
      <w:pPr>
        <w:kinsoku w:val="0"/>
        <w:overflowPunct w:val="0"/>
        <w:autoSpaceDE w:val="0"/>
        <w:autoSpaceDN w:val="0"/>
        <w:adjustRightInd w:val="0"/>
        <w:snapToGrid w:val="0"/>
        <w:spacing w:line="300" w:lineRule="exact"/>
        <w:rPr>
          <w:rFonts w:ascii="標楷體" w:eastAsia="標楷體" w:hAnsi="標楷體"/>
          <w:bCs/>
          <w:color w:val="000000" w:themeColor="text1"/>
          <w:sz w:val="28"/>
          <w:szCs w:val="28"/>
        </w:rPr>
      </w:pPr>
      <w:r w:rsidRPr="00C7700B">
        <w:rPr>
          <w:rFonts w:ascii="標楷體" w:eastAsia="標楷體" w:hAnsi="標楷體"/>
          <w:bCs/>
          <w:color w:val="000000" w:themeColor="text1"/>
          <w:sz w:val="28"/>
          <w:szCs w:val="28"/>
        </w:rPr>
        <w:t>四、公開資料發布訊息</w:t>
      </w:r>
    </w:p>
    <w:p w:rsidR="00644FCF" w:rsidRPr="00C7700B" w:rsidRDefault="00D92BD1" w:rsidP="00C7700B">
      <w:pPr>
        <w:spacing w:line="300" w:lineRule="exact"/>
        <w:ind w:leftChars="119" w:left="566" w:hangingChars="100" w:hanging="280"/>
        <w:jc w:val="both"/>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＊預告發布日期：</w:t>
      </w:r>
      <w:r w:rsidR="00E84D72" w:rsidRPr="00C7700B">
        <w:rPr>
          <w:rFonts w:ascii="標楷體" w:eastAsia="標楷體" w:hAnsi="標楷體" w:hint="eastAsia"/>
          <w:color w:val="000000" w:themeColor="text1"/>
          <w:sz w:val="28"/>
          <w:szCs w:val="28"/>
        </w:rPr>
        <w:t>每年</w:t>
      </w:r>
      <w:r w:rsidR="006F2BC1">
        <w:rPr>
          <w:rFonts w:ascii="標楷體" w:eastAsia="標楷體" w:hAnsi="標楷體" w:hint="eastAsia"/>
          <w:color w:val="000000" w:themeColor="text1"/>
          <w:sz w:val="28"/>
          <w:szCs w:val="28"/>
        </w:rPr>
        <w:t>3</w:t>
      </w:r>
      <w:r w:rsidR="00E84D72" w:rsidRPr="00C7700B">
        <w:rPr>
          <w:rFonts w:ascii="標楷體" w:eastAsia="標楷體" w:hAnsi="標楷體" w:hint="eastAsia"/>
          <w:color w:val="000000" w:themeColor="text1"/>
          <w:sz w:val="28"/>
          <w:szCs w:val="28"/>
        </w:rPr>
        <w:t>月</w:t>
      </w:r>
      <w:r w:rsidR="006F2BC1">
        <w:rPr>
          <w:rFonts w:ascii="標楷體" w:eastAsia="標楷體" w:hAnsi="標楷體" w:hint="eastAsia"/>
          <w:color w:val="000000" w:themeColor="text1"/>
          <w:sz w:val="28"/>
          <w:szCs w:val="28"/>
        </w:rPr>
        <w:t>5</w:t>
      </w:r>
      <w:r w:rsidR="00E84D72" w:rsidRPr="00C7700B">
        <w:rPr>
          <w:rFonts w:ascii="標楷體" w:eastAsia="標楷體" w:hAnsi="標楷體" w:hint="eastAsia"/>
          <w:color w:val="000000" w:themeColor="text1"/>
          <w:sz w:val="28"/>
          <w:szCs w:val="28"/>
        </w:rPr>
        <w:t>日、</w:t>
      </w:r>
      <w:r w:rsidR="006F2BC1">
        <w:rPr>
          <w:rFonts w:ascii="標楷體" w:eastAsia="標楷體" w:hAnsi="標楷體" w:hint="eastAsia"/>
          <w:color w:val="000000" w:themeColor="text1"/>
          <w:sz w:val="28"/>
          <w:szCs w:val="28"/>
        </w:rPr>
        <w:t>9</w:t>
      </w:r>
      <w:r w:rsidR="00E84D72" w:rsidRPr="00C7700B">
        <w:rPr>
          <w:rFonts w:ascii="標楷體" w:eastAsia="標楷體" w:hAnsi="標楷體" w:hint="eastAsia"/>
          <w:color w:val="000000" w:themeColor="text1"/>
          <w:sz w:val="28"/>
          <w:szCs w:val="28"/>
        </w:rPr>
        <w:t>月</w:t>
      </w:r>
      <w:r w:rsidR="006F2BC1">
        <w:rPr>
          <w:rFonts w:ascii="標楷體" w:eastAsia="標楷體" w:hAnsi="標楷體" w:hint="eastAsia"/>
          <w:color w:val="000000" w:themeColor="text1"/>
          <w:sz w:val="28"/>
          <w:szCs w:val="28"/>
        </w:rPr>
        <w:t>5</w:t>
      </w:r>
      <w:r w:rsidR="00E84D72" w:rsidRPr="00C7700B">
        <w:rPr>
          <w:rFonts w:ascii="標楷體" w:eastAsia="標楷體" w:hAnsi="標楷體" w:hint="eastAsia"/>
          <w:color w:val="000000" w:themeColor="text1"/>
          <w:sz w:val="28"/>
          <w:szCs w:val="28"/>
        </w:rPr>
        <w:t>日前(若遇例假日順延)以公務統計報</w:t>
      </w:r>
      <w:r w:rsidR="00E84D72" w:rsidRPr="00C7700B">
        <w:rPr>
          <w:rFonts w:ascii="標楷體" w:eastAsia="標楷體" w:hAnsi="標楷體" w:hint="eastAsia"/>
          <w:color w:val="000000" w:themeColor="text1"/>
          <w:sz w:val="28"/>
          <w:szCs w:val="28"/>
        </w:rPr>
        <w:lastRenderedPageBreak/>
        <w:t>表發布，</w:t>
      </w:r>
      <w:r w:rsidR="00E84D72" w:rsidRPr="00C7700B">
        <w:rPr>
          <w:rFonts w:ascii="標楷體" w:eastAsia="標楷體" w:hAnsi="標楷體"/>
          <w:color w:val="000000" w:themeColor="text1"/>
          <w:sz w:val="28"/>
          <w:szCs w:val="28"/>
        </w:rPr>
        <w:t>發布日期</w:t>
      </w:r>
      <w:r w:rsidR="00E84D72" w:rsidRPr="00C7700B">
        <w:rPr>
          <w:rFonts w:ascii="標楷體" w:eastAsia="標楷體" w:hAnsi="標楷體" w:hint="eastAsia"/>
          <w:color w:val="000000" w:themeColor="text1"/>
          <w:sz w:val="28"/>
          <w:szCs w:val="28"/>
        </w:rPr>
        <w:t>上</w:t>
      </w:r>
      <w:r w:rsidR="00E84D72" w:rsidRPr="00C7700B">
        <w:rPr>
          <w:rFonts w:ascii="標楷體" w:eastAsia="標楷體" w:hAnsi="標楷體"/>
          <w:color w:val="000000" w:themeColor="text1"/>
          <w:sz w:val="28"/>
          <w:szCs w:val="28"/>
        </w:rPr>
        <w:t>載於澎湖縣政府</w:t>
      </w:r>
      <w:r w:rsidR="00E84D72" w:rsidRPr="00C7700B">
        <w:rPr>
          <w:rFonts w:ascii="標楷體" w:eastAsia="標楷體" w:hAnsi="標楷體" w:hint="eastAsia"/>
          <w:color w:val="000000" w:themeColor="text1"/>
          <w:sz w:val="28"/>
          <w:szCs w:val="28"/>
        </w:rPr>
        <w:t>社會</w:t>
      </w:r>
      <w:r w:rsidR="00E84D72" w:rsidRPr="00C7700B">
        <w:rPr>
          <w:rFonts w:ascii="標楷體" w:eastAsia="標楷體" w:hAnsi="標楷體"/>
          <w:color w:val="000000" w:themeColor="text1"/>
          <w:sz w:val="28"/>
          <w:szCs w:val="28"/>
        </w:rPr>
        <w:t>處網</w:t>
      </w:r>
      <w:r w:rsidR="00E84D72" w:rsidRPr="00C7700B">
        <w:rPr>
          <w:rFonts w:ascii="標楷體" w:eastAsia="標楷體" w:hAnsi="標楷體" w:hint="eastAsia"/>
          <w:color w:val="000000" w:themeColor="text1"/>
          <w:sz w:val="28"/>
          <w:szCs w:val="28"/>
        </w:rPr>
        <w:t>站之「</w:t>
      </w:r>
      <w:r w:rsidR="00E84D72" w:rsidRPr="00C7700B">
        <w:rPr>
          <w:rStyle w:val="ae"/>
          <w:rFonts w:ascii="標楷體" w:eastAsia="標楷體" w:hAnsi="標楷體" w:hint="eastAsia"/>
          <w:b w:val="0"/>
          <w:color w:val="000000" w:themeColor="text1"/>
          <w:sz w:val="28"/>
          <w:szCs w:val="28"/>
        </w:rPr>
        <w:t>澎湖縣政府社會處</w:t>
      </w:r>
      <w:r w:rsidR="00E84D72" w:rsidRPr="00C7700B">
        <w:rPr>
          <w:rStyle w:val="ae"/>
          <w:rFonts w:ascii="標楷體" w:eastAsia="標楷體" w:hAnsi="標楷體" w:cs="新細明體" w:hint="eastAsia"/>
          <w:b w:val="0"/>
          <w:color w:val="000000" w:themeColor="text1"/>
          <w:sz w:val="28"/>
          <w:szCs w:val="28"/>
        </w:rPr>
        <w:t>預告統計資料發布時間表</w:t>
      </w:r>
      <w:r w:rsidR="00E84D72" w:rsidRPr="00C7700B">
        <w:rPr>
          <w:rFonts w:ascii="標楷體" w:eastAsia="標楷體" w:hAnsi="標楷體" w:hint="eastAsia"/>
          <w:color w:val="000000" w:themeColor="text1"/>
          <w:sz w:val="28"/>
          <w:szCs w:val="28"/>
        </w:rPr>
        <w:t>」。</w:t>
      </w:r>
    </w:p>
    <w:p w:rsidR="009E6E2C" w:rsidRPr="00C7700B" w:rsidRDefault="00D92BD1" w:rsidP="00C7700B">
      <w:pPr>
        <w:kinsoku w:val="0"/>
        <w:overflowPunct w:val="0"/>
        <w:autoSpaceDE w:val="0"/>
        <w:autoSpaceDN w:val="0"/>
        <w:adjustRightInd w:val="0"/>
        <w:snapToGrid w:val="0"/>
        <w:spacing w:line="300" w:lineRule="exact"/>
        <w:ind w:leftChars="119" w:left="426" w:hangingChars="50" w:hanging="140"/>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＊同步發送單位：</w:t>
      </w:r>
      <w:r w:rsidR="00644FCF" w:rsidRPr="00C7700B">
        <w:rPr>
          <w:rFonts w:ascii="標楷體" w:eastAsia="標楷體" w:hAnsi="標楷體"/>
          <w:color w:val="000000" w:themeColor="text1"/>
          <w:sz w:val="28"/>
          <w:szCs w:val="28"/>
        </w:rPr>
        <w:t>澎湖縣政府</w:t>
      </w:r>
      <w:r w:rsidR="00644FCF" w:rsidRPr="00C7700B">
        <w:rPr>
          <w:rFonts w:ascii="標楷體" w:eastAsia="標楷體" w:hAnsi="標楷體" w:hint="eastAsia"/>
          <w:color w:val="000000" w:themeColor="text1"/>
          <w:sz w:val="28"/>
          <w:szCs w:val="28"/>
        </w:rPr>
        <w:t>主計</w:t>
      </w:r>
      <w:r w:rsidR="00644FCF" w:rsidRPr="00C7700B">
        <w:rPr>
          <w:rFonts w:ascii="標楷體" w:eastAsia="標楷體" w:hAnsi="標楷體"/>
          <w:color w:val="000000" w:themeColor="text1"/>
          <w:sz w:val="28"/>
          <w:szCs w:val="28"/>
        </w:rPr>
        <w:t>處</w:t>
      </w:r>
    </w:p>
    <w:p w:rsidR="009E6E2C" w:rsidRPr="00C7700B" w:rsidRDefault="009E6E2C" w:rsidP="00C7700B">
      <w:pPr>
        <w:kinsoku w:val="0"/>
        <w:overflowPunct w:val="0"/>
        <w:autoSpaceDE w:val="0"/>
        <w:autoSpaceDN w:val="0"/>
        <w:adjustRightInd w:val="0"/>
        <w:snapToGrid w:val="0"/>
        <w:spacing w:line="300" w:lineRule="exact"/>
        <w:rPr>
          <w:rFonts w:ascii="標楷體" w:eastAsia="標楷體" w:hAnsi="標楷體"/>
          <w:bCs/>
          <w:color w:val="000000" w:themeColor="text1"/>
          <w:sz w:val="28"/>
          <w:szCs w:val="28"/>
        </w:rPr>
      </w:pPr>
    </w:p>
    <w:p w:rsidR="00D92BD1" w:rsidRPr="00C7700B" w:rsidRDefault="00D92BD1" w:rsidP="00C7700B">
      <w:pPr>
        <w:kinsoku w:val="0"/>
        <w:overflowPunct w:val="0"/>
        <w:autoSpaceDE w:val="0"/>
        <w:autoSpaceDN w:val="0"/>
        <w:adjustRightInd w:val="0"/>
        <w:snapToGrid w:val="0"/>
        <w:spacing w:line="300" w:lineRule="exact"/>
        <w:rPr>
          <w:rFonts w:ascii="標楷體" w:eastAsia="標楷體" w:hAnsi="標楷體"/>
          <w:bCs/>
          <w:color w:val="000000" w:themeColor="text1"/>
          <w:sz w:val="28"/>
          <w:szCs w:val="28"/>
        </w:rPr>
      </w:pPr>
      <w:r w:rsidRPr="00C7700B">
        <w:rPr>
          <w:rFonts w:ascii="標楷體" w:eastAsia="標楷體" w:hAnsi="標楷體"/>
          <w:bCs/>
          <w:color w:val="000000" w:themeColor="text1"/>
          <w:sz w:val="28"/>
          <w:szCs w:val="28"/>
        </w:rPr>
        <w:t>五、資料品質</w:t>
      </w:r>
    </w:p>
    <w:p w:rsidR="00D92BD1" w:rsidRPr="00C7700B" w:rsidRDefault="00D92BD1" w:rsidP="00C7700B">
      <w:pPr>
        <w:kinsoku w:val="0"/>
        <w:overflowPunct w:val="0"/>
        <w:autoSpaceDE w:val="0"/>
        <w:autoSpaceDN w:val="0"/>
        <w:adjustRightInd w:val="0"/>
        <w:snapToGrid w:val="0"/>
        <w:spacing w:line="300" w:lineRule="exact"/>
        <w:ind w:leftChars="119" w:left="762" w:hangingChars="170" w:hanging="476"/>
        <w:rPr>
          <w:rFonts w:ascii="標楷體" w:eastAsia="標楷體" w:hAnsi="標楷體"/>
          <w:color w:val="000000" w:themeColor="text1"/>
          <w:sz w:val="28"/>
          <w:szCs w:val="28"/>
        </w:rPr>
      </w:pPr>
      <w:r w:rsidRPr="00C7700B">
        <w:rPr>
          <w:rFonts w:ascii="標楷體" w:eastAsia="標楷體" w:hAnsi="標楷體"/>
          <w:color w:val="000000" w:themeColor="text1"/>
          <w:sz w:val="28"/>
          <w:szCs w:val="28"/>
        </w:rPr>
        <w:t>＊統計指標編製方法與資料來源說明：</w:t>
      </w:r>
      <w:r w:rsidR="00AC5739" w:rsidRPr="00C7700B">
        <w:rPr>
          <w:rFonts w:ascii="標楷體" w:eastAsia="標楷體" w:hAnsi="標楷體"/>
          <w:color w:val="000000" w:themeColor="text1"/>
          <w:sz w:val="28"/>
          <w:szCs w:val="28"/>
        </w:rPr>
        <w:t xml:space="preserve"> </w:t>
      </w:r>
    </w:p>
    <w:p w:rsidR="00151E88" w:rsidRPr="00C7700B" w:rsidRDefault="002E4DD5" w:rsidP="00C7700B">
      <w:pPr>
        <w:kinsoku w:val="0"/>
        <w:overflowPunct w:val="0"/>
        <w:autoSpaceDE w:val="0"/>
        <w:autoSpaceDN w:val="0"/>
        <w:adjustRightInd w:val="0"/>
        <w:snapToGrid w:val="0"/>
        <w:spacing w:line="300" w:lineRule="exact"/>
        <w:ind w:leftChars="176" w:left="422" w:firstLineChars="51" w:firstLine="143"/>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依據本府社會處辦理之各項性騷擾防治服務業務資料彙編。</w:t>
      </w:r>
    </w:p>
    <w:p w:rsidR="002E4DD5" w:rsidRPr="00C7700B" w:rsidRDefault="00D92BD1" w:rsidP="00865F59">
      <w:pPr>
        <w:kinsoku w:val="0"/>
        <w:overflowPunct w:val="0"/>
        <w:autoSpaceDE w:val="0"/>
        <w:autoSpaceDN w:val="0"/>
        <w:adjustRightInd w:val="0"/>
        <w:snapToGrid w:val="0"/>
        <w:spacing w:line="300" w:lineRule="exact"/>
        <w:ind w:leftChars="119" w:left="566" w:hangingChars="100" w:hanging="280"/>
        <w:rPr>
          <w:rFonts w:ascii="標楷體" w:eastAsia="標楷體" w:hAnsi="標楷體"/>
          <w:b/>
          <w:color w:val="000000" w:themeColor="text1"/>
          <w:sz w:val="28"/>
          <w:szCs w:val="28"/>
        </w:rPr>
      </w:pPr>
      <w:r w:rsidRPr="00C7700B">
        <w:rPr>
          <w:rFonts w:ascii="標楷體" w:eastAsia="標楷體" w:hAnsi="標楷體"/>
          <w:color w:val="000000" w:themeColor="text1"/>
          <w:sz w:val="28"/>
          <w:szCs w:val="28"/>
        </w:rPr>
        <w:t>＊統計資料交叉查核及確保資料合理性之機制：</w:t>
      </w:r>
      <w:r w:rsidR="002E4DD5" w:rsidRPr="00C7700B">
        <w:rPr>
          <w:rFonts w:ascii="標楷體" w:eastAsia="標楷體" w:hAnsi="標楷體"/>
          <w:color w:val="000000" w:themeColor="text1"/>
          <w:sz w:val="28"/>
          <w:szCs w:val="28"/>
        </w:rPr>
        <w:t>均採電腦連線作業</w:t>
      </w:r>
      <w:r w:rsidR="002E4DD5" w:rsidRPr="00C7700B">
        <w:rPr>
          <w:rFonts w:ascii="標楷體" w:eastAsia="標楷體" w:hAnsi="標楷體" w:hint="eastAsia"/>
          <w:color w:val="000000" w:themeColor="text1"/>
          <w:sz w:val="28"/>
          <w:szCs w:val="28"/>
        </w:rPr>
        <w:t>(</w:t>
      </w:r>
      <w:r w:rsidR="002E4DD5" w:rsidRPr="00C7700B">
        <w:rPr>
          <w:rFonts w:ascii="標楷體" w:eastAsia="標楷體" w:hAnsi="標楷體"/>
          <w:color w:val="000000" w:themeColor="text1"/>
          <w:sz w:val="28"/>
          <w:szCs w:val="28"/>
        </w:rPr>
        <w:t>各直轄市</w:t>
      </w:r>
      <w:bookmarkStart w:id="0" w:name="_GoBack"/>
      <w:bookmarkEnd w:id="0"/>
      <w:r w:rsidR="002E4DD5" w:rsidRPr="00C7700B">
        <w:rPr>
          <w:rFonts w:ascii="標楷體" w:eastAsia="標楷體" w:hAnsi="標楷體"/>
          <w:color w:val="000000" w:themeColor="text1"/>
          <w:sz w:val="28"/>
          <w:szCs w:val="28"/>
        </w:rPr>
        <w:t>縣(市)</w:t>
      </w:r>
      <w:r w:rsidR="002E4DD5" w:rsidRPr="00C7700B">
        <w:rPr>
          <w:rFonts w:ascii="標楷體" w:eastAsia="標楷體" w:hAnsi="標楷體" w:hint="eastAsia"/>
          <w:color w:val="000000" w:themeColor="text1"/>
          <w:sz w:val="28"/>
          <w:szCs w:val="28"/>
        </w:rPr>
        <w:t>社</w:t>
      </w:r>
      <w:r w:rsidR="002E4DD5" w:rsidRPr="00C7700B">
        <w:rPr>
          <w:rFonts w:ascii="標楷體" w:eastAsia="標楷體" w:hAnsi="標楷體"/>
          <w:color w:val="000000" w:themeColor="text1"/>
          <w:sz w:val="28"/>
          <w:szCs w:val="28"/>
        </w:rPr>
        <w:t>政公務統計報表網際網路報送系統</w:t>
      </w:r>
      <w:r w:rsidR="002E4DD5" w:rsidRPr="00C7700B">
        <w:rPr>
          <w:rFonts w:ascii="標楷體" w:eastAsia="標楷體" w:hAnsi="標楷體" w:hint="eastAsia"/>
          <w:color w:val="000000" w:themeColor="text1"/>
          <w:sz w:val="28"/>
          <w:szCs w:val="28"/>
        </w:rPr>
        <w:t>)</w:t>
      </w:r>
      <w:r w:rsidR="002E4DD5" w:rsidRPr="00C7700B">
        <w:rPr>
          <w:rFonts w:ascii="標楷體" w:eastAsia="標楷體" w:hAnsi="標楷體"/>
          <w:color w:val="000000" w:themeColor="text1"/>
          <w:sz w:val="28"/>
          <w:szCs w:val="28"/>
        </w:rPr>
        <w:t>且有查核機制，資料正確無誤。</w:t>
      </w:r>
    </w:p>
    <w:p w:rsidR="002E4DD5" w:rsidRPr="00C7700B" w:rsidRDefault="002E4DD5" w:rsidP="00C7700B">
      <w:pPr>
        <w:pStyle w:val="1"/>
        <w:spacing w:before="0" w:beforeAutospacing="0" w:after="0" w:afterAutospacing="0" w:line="300" w:lineRule="exact"/>
        <w:ind w:left="700" w:hangingChars="250" w:hanging="700"/>
        <w:rPr>
          <w:rFonts w:ascii="標楷體" w:eastAsia="標楷體" w:hAnsi="標楷體"/>
          <w:b w:val="0"/>
          <w:color w:val="000000" w:themeColor="text1"/>
          <w:sz w:val="28"/>
          <w:szCs w:val="28"/>
        </w:rPr>
      </w:pPr>
    </w:p>
    <w:p w:rsidR="00D92BD1" w:rsidRPr="00C7700B" w:rsidRDefault="00D92BD1" w:rsidP="00C7700B">
      <w:pPr>
        <w:kinsoku w:val="0"/>
        <w:overflowPunct w:val="0"/>
        <w:autoSpaceDE w:val="0"/>
        <w:autoSpaceDN w:val="0"/>
        <w:adjustRightInd w:val="0"/>
        <w:snapToGrid w:val="0"/>
        <w:spacing w:line="300" w:lineRule="exact"/>
        <w:rPr>
          <w:rFonts w:ascii="標楷體" w:eastAsia="標楷體" w:hAnsi="標楷體"/>
          <w:color w:val="000000" w:themeColor="text1"/>
          <w:sz w:val="28"/>
          <w:szCs w:val="28"/>
        </w:rPr>
      </w:pPr>
      <w:r w:rsidRPr="00C7700B">
        <w:rPr>
          <w:rFonts w:ascii="標楷體" w:eastAsia="標楷體" w:hAnsi="標楷體"/>
          <w:bCs/>
          <w:color w:val="000000" w:themeColor="text1"/>
          <w:sz w:val="28"/>
          <w:szCs w:val="28"/>
        </w:rPr>
        <w:t>六、須注意及預定改變之事項</w:t>
      </w:r>
      <w:r w:rsidRPr="00C7700B">
        <w:rPr>
          <w:rFonts w:ascii="標楷體" w:eastAsia="標楷體" w:hAnsi="標楷體"/>
          <w:color w:val="000000" w:themeColor="text1"/>
          <w:sz w:val="28"/>
          <w:szCs w:val="28"/>
        </w:rPr>
        <w:t>：無</w:t>
      </w:r>
    </w:p>
    <w:p w:rsidR="00893558" w:rsidRPr="00C7700B" w:rsidRDefault="00893558" w:rsidP="00C7700B">
      <w:pPr>
        <w:kinsoku w:val="0"/>
        <w:overflowPunct w:val="0"/>
        <w:autoSpaceDE w:val="0"/>
        <w:autoSpaceDN w:val="0"/>
        <w:adjustRightInd w:val="0"/>
        <w:snapToGrid w:val="0"/>
        <w:spacing w:line="300" w:lineRule="exact"/>
        <w:rPr>
          <w:rFonts w:ascii="標楷體" w:eastAsia="標楷體" w:hAnsi="標楷體"/>
          <w:color w:val="000000" w:themeColor="text1"/>
          <w:sz w:val="28"/>
          <w:szCs w:val="28"/>
        </w:rPr>
      </w:pPr>
    </w:p>
    <w:p w:rsidR="00893558" w:rsidRPr="00C7700B" w:rsidRDefault="00893558" w:rsidP="00C7700B">
      <w:pPr>
        <w:kinsoku w:val="0"/>
        <w:overflowPunct w:val="0"/>
        <w:autoSpaceDE w:val="0"/>
        <w:autoSpaceDN w:val="0"/>
        <w:adjustRightInd w:val="0"/>
        <w:snapToGrid w:val="0"/>
        <w:spacing w:line="300" w:lineRule="exact"/>
        <w:rPr>
          <w:rFonts w:ascii="標楷體" w:eastAsia="標楷體" w:hAnsi="標楷體"/>
          <w:color w:val="000000" w:themeColor="text1"/>
          <w:sz w:val="28"/>
          <w:szCs w:val="28"/>
        </w:rPr>
      </w:pPr>
      <w:r w:rsidRPr="00C7700B">
        <w:rPr>
          <w:rFonts w:ascii="標楷體" w:eastAsia="標楷體" w:hAnsi="標楷體" w:hint="eastAsia"/>
          <w:color w:val="000000" w:themeColor="text1"/>
          <w:sz w:val="28"/>
          <w:szCs w:val="28"/>
        </w:rPr>
        <w:t>七、其他事項：無</w:t>
      </w:r>
    </w:p>
    <w:p w:rsidR="00D92BD1" w:rsidRPr="00C7700B" w:rsidRDefault="00D92BD1" w:rsidP="00C7700B">
      <w:pPr>
        <w:kinsoku w:val="0"/>
        <w:overflowPunct w:val="0"/>
        <w:autoSpaceDE w:val="0"/>
        <w:autoSpaceDN w:val="0"/>
        <w:adjustRightInd w:val="0"/>
        <w:snapToGrid w:val="0"/>
        <w:spacing w:line="300" w:lineRule="exact"/>
        <w:ind w:leftChars="200" w:left="480"/>
        <w:rPr>
          <w:rFonts w:ascii="標楷體" w:eastAsia="標楷體" w:hAnsi="標楷體"/>
          <w:color w:val="000000" w:themeColor="text1"/>
          <w:sz w:val="28"/>
          <w:szCs w:val="28"/>
        </w:rPr>
      </w:pPr>
    </w:p>
    <w:sectPr w:rsidR="00D92BD1" w:rsidRPr="00C7700B" w:rsidSect="0013327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2C" w:rsidRDefault="00C4602C" w:rsidP="00D83F63">
      <w:r>
        <w:separator/>
      </w:r>
    </w:p>
  </w:endnote>
  <w:endnote w:type="continuationSeparator" w:id="0">
    <w:p w:rsidR="00C4602C" w:rsidRDefault="00C4602C" w:rsidP="00D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2C" w:rsidRDefault="00C4602C" w:rsidP="00D83F63">
      <w:r>
        <w:separator/>
      </w:r>
    </w:p>
  </w:footnote>
  <w:footnote w:type="continuationSeparator" w:id="0">
    <w:p w:rsidR="00C4602C" w:rsidRDefault="00C4602C" w:rsidP="00D8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15:restartNumberingAfterBreak="0">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15:restartNumberingAfterBreak="0">
    <w:nsid w:val="108161D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15:restartNumberingAfterBreak="0">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15:restartNumberingAfterBreak="0">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15:restartNumberingAfterBreak="0">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15:restartNumberingAfterBreak="0">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15:restartNumberingAfterBreak="0">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15:restartNumberingAfterBreak="0">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15:restartNumberingAfterBreak="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15:restartNumberingAfterBreak="0">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15:restartNumberingAfterBreak="0">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15:restartNumberingAfterBreak="0">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15:restartNumberingAfterBreak="0">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15:restartNumberingAfterBreak="0">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15:restartNumberingAfterBreak="0">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15:restartNumberingAfterBreak="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15:restartNumberingAfterBreak="0">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124D6"/>
    <w:rsid w:val="00082627"/>
    <w:rsid w:val="000C1F0B"/>
    <w:rsid w:val="000C352D"/>
    <w:rsid w:val="000C73FE"/>
    <w:rsid w:val="000F02B6"/>
    <w:rsid w:val="0013327E"/>
    <w:rsid w:val="00151E88"/>
    <w:rsid w:val="0015503F"/>
    <w:rsid w:val="001C0AF4"/>
    <w:rsid w:val="001D3C5C"/>
    <w:rsid w:val="001E71B1"/>
    <w:rsid w:val="001F266A"/>
    <w:rsid w:val="002547B9"/>
    <w:rsid w:val="002B7E7E"/>
    <w:rsid w:val="002C7770"/>
    <w:rsid w:val="002E4DD5"/>
    <w:rsid w:val="003023B9"/>
    <w:rsid w:val="003863D4"/>
    <w:rsid w:val="00387AA6"/>
    <w:rsid w:val="0042268C"/>
    <w:rsid w:val="00441C02"/>
    <w:rsid w:val="004829C8"/>
    <w:rsid w:val="00527A3C"/>
    <w:rsid w:val="00552FED"/>
    <w:rsid w:val="00573B95"/>
    <w:rsid w:val="00591708"/>
    <w:rsid w:val="005A3AC0"/>
    <w:rsid w:val="005A6343"/>
    <w:rsid w:val="005B3EAD"/>
    <w:rsid w:val="00644FCF"/>
    <w:rsid w:val="00652DBB"/>
    <w:rsid w:val="00653FAF"/>
    <w:rsid w:val="00695299"/>
    <w:rsid w:val="006A2104"/>
    <w:rsid w:val="006E12BA"/>
    <w:rsid w:val="006E7A00"/>
    <w:rsid w:val="006F2BC1"/>
    <w:rsid w:val="006F56BF"/>
    <w:rsid w:val="00736918"/>
    <w:rsid w:val="00784CBD"/>
    <w:rsid w:val="007A0B9E"/>
    <w:rsid w:val="007E7AD7"/>
    <w:rsid w:val="00816199"/>
    <w:rsid w:val="00831935"/>
    <w:rsid w:val="00853165"/>
    <w:rsid w:val="008649B7"/>
    <w:rsid w:val="00865F59"/>
    <w:rsid w:val="00875568"/>
    <w:rsid w:val="00893558"/>
    <w:rsid w:val="00893CB1"/>
    <w:rsid w:val="008C092A"/>
    <w:rsid w:val="008D52B8"/>
    <w:rsid w:val="008F37DF"/>
    <w:rsid w:val="009124D6"/>
    <w:rsid w:val="0093402F"/>
    <w:rsid w:val="00941697"/>
    <w:rsid w:val="00951503"/>
    <w:rsid w:val="00957606"/>
    <w:rsid w:val="009825CB"/>
    <w:rsid w:val="00985E2A"/>
    <w:rsid w:val="009C12C7"/>
    <w:rsid w:val="009E5A8D"/>
    <w:rsid w:val="009E6E2C"/>
    <w:rsid w:val="009F05C8"/>
    <w:rsid w:val="009F718D"/>
    <w:rsid w:val="00A1678E"/>
    <w:rsid w:val="00A25BC9"/>
    <w:rsid w:val="00A27BF2"/>
    <w:rsid w:val="00A33C5B"/>
    <w:rsid w:val="00AC5739"/>
    <w:rsid w:val="00AE60D5"/>
    <w:rsid w:val="00B34AF6"/>
    <w:rsid w:val="00B8635C"/>
    <w:rsid w:val="00BA2ABF"/>
    <w:rsid w:val="00BE1AF1"/>
    <w:rsid w:val="00BE763E"/>
    <w:rsid w:val="00BF17ED"/>
    <w:rsid w:val="00BF389B"/>
    <w:rsid w:val="00C4602C"/>
    <w:rsid w:val="00C50D87"/>
    <w:rsid w:val="00C56939"/>
    <w:rsid w:val="00C7700B"/>
    <w:rsid w:val="00CD0E44"/>
    <w:rsid w:val="00D35B03"/>
    <w:rsid w:val="00D43E90"/>
    <w:rsid w:val="00D66205"/>
    <w:rsid w:val="00D764CC"/>
    <w:rsid w:val="00D83F63"/>
    <w:rsid w:val="00D84DEA"/>
    <w:rsid w:val="00D92BD1"/>
    <w:rsid w:val="00DA44B1"/>
    <w:rsid w:val="00DA59EF"/>
    <w:rsid w:val="00DB296F"/>
    <w:rsid w:val="00DC1BB5"/>
    <w:rsid w:val="00DD7893"/>
    <w:rsid w:val="00DF53C7"/>
    <w:rsid w:val="00E12F36"/>
    <w:rsid w:val="00E21035"/>
    <w:rsid w:val="00E45256"/>
    <w:rsid w:val="00E51382"/>
    <w:rsid w:val="00E84D72"/>
    <w:rsid w:val="00EB764B"/>
    <w:rsid w:val="00ED4995"/>
    <w:rsid w:val="00EF5885"/>
    <w:rsid w:val="00EF7828"/>
    <w:rsid w:val="00F64817"/>
    <w:rsid w:val="00FD69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A0BA5-7F28-4393-ACAE-A7A5CDDE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22"/>
    <w:pPr>
      <w:widowControl w:val="0"/>
    </w:pPr>
    <w:rPr>
      <w:kern w:val="2"/>
      <w:sz w:val="24"/>
    </w:rPr>
  </w:style>
  <w:style w:type="paragraph" w:styleId="1">
    <w:name w:val="heading 1"/>
    <w:basedOn w:val="a"/>
    <w:link w:val="10"/>
    <w:uiPriority w:val="9"/>
    <w:qFormat/>
    <w:rsid w:val="00552FED"/>
    <w:pPr>
      <w:widowControl/>
      <w:spacing w:before="100" w:beforeAutospacing="1" w:after="100" w:afterAutospacing="1"/>
      <w:outlineLvl w:val="0"/>
    </w:pPr>
    <w:rPr>
      <w:rFonts w:ascii="新細明體" w:hAnsi="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FD6922"/>
    <w:pPr>
      <w:autoSpaceDN w:val="0"/>
      <w:ind w:left="607" w:hanging="204"/>
      <w:jc w:val="both"/>
    </w:pPr>
    <w:rPr>
      <w:rFonts w:eastAsia="細明體"/>
      <w:sz w:val="20"/>
    </w:rPr>
  </w:style>
  <w:style w:type="paragraph" w:customStyle="1" w:styleId="a4">
    <w:name w:val="一"/>
    <w:basedOn w:val="a"/>
    <w:rsid w:val="00FD6922"/>
    <w:pPr>
      <w:autoSpaceDN w:val="0"/>
      <w:spacing w:before="60" w:after="60"/>
      <w:ind w:left="403" w:hanging="403"/>
    </w:pPr>
    <w:rPr>
      <w:rFonts w:eastAsia="華康中黑體"/>
      <w:b/>
      <w:sz w:val="20"/>
    </w:rPr>
  </w:style>
  <w:style w:type="paragraph" w:customStyle="1" w:styleId="11">
    <w:name w:val="1."/>
    <w:basedOn w:val="a3"/>
    <w:rsid w:val="00FD6922"/>
    <w:pPr>
      <w:ind w:left="805"/>
    </w:pPr>
  </w:style>
  <w:style w:type="paragraph" w:styleId="a5">
    <w:name w:val="Block Text"/>
    <w:basedOn w:val="a"/>
    <w:rsid w:val="00FD6922"/>
    <w:pPr>
      <w:spacing w:line="580" w:lineRule="exact"/>
      <w:ind w:left="532" w:right="-328" w:firstLine="434"/>
    </w:pPr>
    <w:rPr>
      <w:rFonts w:ascii="標楷體" w:eastAsia="標楷體"/>
      <w:sz w:val="28"/>
    </w:rPr>
  </w:style>
  <w:style w:type="paragraph" w:customStyle="1" w:styleId="a6">
    <w:name w:val="文一"/>
    <w:basedOn w:val="a"/>
    <w:rsid w:val="00FD6922"/>
    <w:pPr>
      <w:autoSpaceDN w:val="0"/>
      <w:ind w:left="403" w:firstLine="403"/>
      <w:jc w:val="both"/>
    </w:pPr>
    <w:rPr>
      <w:rFonts w:eastAsia="細明體"/>
      <w:sz w:val="20"/>
    </w:rPr>
  </w:style>
  <w:style w:type="paragraph" w:styleId="a7">
    <w:name w:val="Body Text Indent"/>
    <w:basedOn w:val="a"/>
    <w:rsid w:val="00FD6922"/>
    <w:pPr>
      <w:spacing w:line="580" w:lineRule="exact"/>
      <w:ind w:left="504" w:firstLine="742"/>
    </w:pPr>
    <w:rPr>
      <w:rFonts w:eastAsia="標楷體"/>
      <w:sz w:val="28"/>
    </w:rPr>
  </w:style>
  <w:style w:type="paragraph" w:styleId="2">
    <w:name w:val="Body Text Indent 2"/>
    <w:basedOn w:val="a"/>
    <w:rsid w:val="00FD6922"/>
    <w:pPr>
      <w:spacing w:line="580" w:lineRule="exact"/>
      <w:ind w:left="602" w:firstLine="504"/>
    </w:pPr>
    <w:rPr>
      <w:rFonts w:eastAsia="標楷體"/>
      <w:sz w:val="28"/>
    </w:rPr>
  </w:style>
  <w:style w:type="paragraph" w:styleId="3">
    <w:name w:val="Body Text Indent 3"/>
    <w:basedOn w:val="a"/>
    <w:rsid w:val="00FD6922"/>
    <w:pPr>
      <w:spacing w:line="580" w:lineRule="exact"/>
      <w:ind w:left="1190" w:hanging="560"/>
    </w:pPr>
    <w:rPr>
      <w:rFonts w:eastAsia="標楷體"/>
      <w:b/>
      <w:sz w:val="28"/>
    </w:rPr>
  </w:style>
  <w:style w:type="character" w:styleId="a8">
    <w:name w:val="Hyperlink"/>
    <w:rsid w:val="00FD6922"/>
    <w:rPr>
      <w:color w:val="0000FF"/>
      <w:u w:val="single"/>
    </w:rPr>
  </w:style>
  <w:style w:type="character" w:styleId="a9">
    <w:name w:val="FollowedHyperlink"/>
    <w:rsid w:val="00FD6922"/>
    <w:rPr>
      <w:color w:val="800080"/>
      <w:u w:val="single"/>
    </w:rPr>
  </w:style>
  <w:style w:type="paragraph" w:styleId="aa">
    <w:name w:val="header"/>
    <w:basedOn w:val="a"/>
    <w:link w:val="ab"/>
    <w:rsid w:val="00D83F63"/>
    <w:pPr>
      <w:tabs>
        <w:tab w:val="center" w:pos="4153"/>
        <w:tab w:val="right" w:pos="8306"/>
      </w:tabs>
      <w:snapToGrid w:val="0"/>
    </w:pPr>
    <w:rPr>
      <w:sz w:val="20"/>
    </w:rPr>
  </w:style>
  <w:style w:type="character" w:customStyle="1" w:styleId="ab">
    <w:name w:val="頁首 字元"/>
    <w:link w:val="aa"/>
    <w:rsid w:val="00D83F63"/>
    <w:rPr>
      <w:kern w:val="2"/>
    </w:rPr>
  </w:style>
  <w:style w:type="paragraph" w:styleId="ac">
    <w:name w:val="footer"/>
    <w:basedOn w:val="a"/>
    <w:link w:val="ad"/>
    <w:rsid w:val="00D83F63"/>
    <w:pPr>
      <w:tabs>
        <w:tab w:val="center" w:pos="4153"/>
        <w:tab w:val="right" w:pos="8306"/>
      </w:tabs>
      <w:snapToGrid w:val="0"/>
    </w:pPr>
    <w:rPr>
      <w:sz w:val="20"/>
    </w:rPr>
  </w:style>
  <w:style w:type="character" w:customStyle="1" w:styleId="ad">
    <w:name w:val="頁尾 字元"/>
    <w:link w:val="ac"/>
    <w:rsid w:val="00D83F63"/>
    <w:rPr>
      <w:kern w:val="2"/>
    </w:rPr>
  </w:style>
  <w:style w:type="character" w:customStyle="1" w:styleId="10">
    <w:name w:val="標題 1 字元"/>
    <w:link w:val="1"/>
    <w:uiPriority w:val="9"/>
    <w:rsid w:val="00552FED"/>
    <w:rPr>
      <w:rFonts w:ascii="新細明體" w:hAnsi="新細明體" w:cs="新細明體"/>
      <w:b/>
      <w:bCs/>
      <w:color w:val="000000"/>
      <w:kern w:val="36"/>
      <w:sz w:val="48"/>
      <w:szCs w:val="48"/>
    </w:rPr>
  </w:style>
  <w:style w:type="character" w:styleId="ae">
    <w:name w:val="Strong"/>
    <w:uiPriority w:val="22"/>
    <w:qFormat/>
    <w:rsid w:val="00552FED"/>
    <w:rPr>
      <w:b/>
      <w:bCs/>
    </w:rPr>
  </w:style>
  <w:style w:type="paragraph" w:styleId="Web">
    <w:name w:val="Normal (Web)"/>
    <w:basedOn w:val="a"/>
    <w:uiPriority w:val="99"/>
    <w:unhideWhenUsed/>
    <w:rsid w:val="00552FED"/>
    <w:pPr>
      <w:widowControl/>
      <w:spacing w:before="100" w:beforeAutospacing="1" w:after="100" w:afterAutospacing="1"/>
    </w:pPr>
    <w:rPr>
      <w:rFonts w:ascii="新細明體" w:hAnsi="新細明體" w:cs="新細明體"/>
      <w:color w:val="000000"/>
      <w:kern w:val="0"/>
      <w:szCs w:val="24"/>
    </w:rPr>
  </w:style>
  <w:style w:type="character" w:styleId="af">
    <w:name w:val="footnote reference"/>
    <w:rsid w:val="00784CBD"/>
    <w:rPr>
      <w:vertAlign w:val="superscript"/>
    </w:rPr>
  </w:style>
  <w:style w:type="paragraph" w:styleId="af0">
    <w:name w:val="Balloon Text"/>
    <w:basedOn w:val="a"/>
    <w:link w:val="af1"/>
    <w:rsid w:val="00784CBD"/>
    <w:rPr>
      <w:rFonts w:ascii="Cambria" w:hAnsi="Cambria"/>
      <w:sz w:val="18"/>
      <w:szCs w:val="18"/>
    </w:rPr>
  </w:style>
  <w:style w:type="character" w:customStyle="1" w:styleId="af1">
    <w:name w:val="註解方塊文字 字元"/>
    <w:link w:val="af0"/>
    <w:rsid w:val="00784CB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4063">
      <w:bodyDiv w:val="1"/>
      <w:marLeft w:val="0"/>
      <w:marRight w:val="0"/>
      <w:marTop w:val="0"/>
      <w:marBottom w:val="0"/>
      <w:divBdr>
        <w:top w:val="none" w:sz="0" w:space="0" w:color="auto"/>
        <w:left w:val="none" w:sz="0" w:space="0" w:color="auto"/>
        <w:bottom w:val="none" w:sz="0" w:space="0" w:color="auto"/>
        <w:right w:val="none" w:sz="0" w:space="0" w:color="auto"/>
      </w:divBdr>
    </w:div>
    <w:div w:id="14699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陳素眞</cp:lastModifiedBy>
  <cp:revision>6</cp:revision>
  <cp:lastPrinted>2013-11-07T01:39:00Z</cp:lastPrinted>
  <dcterms:created xsi:type="dcterms:W3CDTF">2020-02-03T01:29:00Z</dcterms:created>
  <dcterms:modified xsi:type="dcterms:W3CDTF">2020-02-07T02:42:00Z</dcterms:modified>
</cp:coreProperties>
</file>